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20A" w:rsidRDefault="009A1128">
      <w:pPr>
        <w:jc w:val="center"/>
        <w:rPr>
          <w:rFonts w:hint="eastAsia"/>
          <w:b/>
          <w:sz w:val="28"/>
          <w:szCs w:val="28"/>
        </w:rPr>
      </w:pPr>
      <w:r>
        <w:rPr>
          <w:b/>
          <w:sz w:val="28"/>
          <w:szCs w:val="28"/>
        </w:rPr>
        <w:t xml:space="preserve">         </w:t>
      </w:r>
      <w:r>
        <w:t>Compte rendu réunion</w:t>
      </w:r>
    </w:p>
    <w:p w:rsidR="0010520A" w:rsidRDefault="009A1128">
      <w:pPr>
        <w:jc w:val="center"/>
        <w:rPr>
          <w:rFonts w:hint="eastAsia"/>
          <w:b/>
          <w:bCs/>
          <w:sz w:val="28"/>
          <w:szCs w:val="28"/>
        </w:rPr>
      </w:pPr>
      <w:r>
        <w:rPr>
          <w:b/>
          <w:bCs/>
          <w:sz w:val="28"/>
          <w:szCs w:val="28"/>
        </w:rPr>
        <w:t>EHPC, Eco Habitat Partagé Calmette</w:t>
      </w:r>
    </w:p>
    <w:p w:rsidR="0010520A" w:rsidRDefault="009A1128">
      <w:pPr>
        <w:jc w:val="center"/>
        <w:rPr>
          <w:rFonts w:hint="eastAsia"/>
        </w:rPr>
      </w:pPr>
      <w:r>
        <w:rPr>
          <w:b/>
          <w:bCs/>
          <w:i/>
          <w:iCs/>
        </w:rPr>
        <w:t>Dimanche 01 novembre, 18:00/20:00</w:t>
      </w:r>
    </w:p>
    <w:p w:rsidR="0010520A" w:rsidRDefault="0010520A">
      <w:pPr>
        <w:jc w:val="both"/>
        <w:rPr>
          <w:rFonts w:hint="eastAsia"/>
        </w:rPr>
      </w:pPr>
    </w:p>
    <w:p w:rsidR="0010520A" w:rsidRDefault="0010520A">
      <w:pPr>
        <w:jc w:val="both"/>
        <w:rPr>
          <w:rFonts w:hint="eastAsia"/>
        </w:rPr>
      </w:pPr>
    </w:p>
    <w:p w:rsidR="0010520A" w:rsidRDefault="009A1128">
      <w:pPr>
        <w:jc w:val="both"/>
        <w:rPr>
          <w:rFonts w:hint="eastAsia"/>
          <w:b/>
          <w:bCs/>
          <w:u w:val="single"/>
        </w:rPr>
      </w:pPr>
      <w:r>
        <w:rPr>
          <w:b/>
          <w:bCs/>
          <w:u w:val="single"/>
        </w:rPr>
        <w:t>Présents</w:t>
      </w:r>
      <w:r>
        <w:rPr>
          <w:b/>
          <w:bCs/>
          <w:i/>
          <w:iCs/>
          <w:u w:val="single"/>
        </w:rPr>
        <w:t xml:space="preserve"> </w:t>
      </w:r>
      <w:r>
        <w:rPr>
          <w:b/>
          <w:bCs/>
          <w:u w:val="single"/>
        </w:rPr>
        <w:t xml:space="preserve">: </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4818"/>
        <w:gridCol w:w="4820"/>
      </w:tblGrid>
      <w:tr w:rsidR="0010520A">
        <w:tc>
          <w:tcPr>
            <w:tcW w:w="4818" w:type="dxa"/>
          </w:tcPr>
          <w:p w:rsidR="0010520A" w:rsidRDefault="009A1128">
            <w:pPr>
              <w:ind w:left="720"/>
              <w:jc w:val="both"/>
              <w:rPr>
                <w:rFonts w:hint="eastAsia"/>
              </w:rPr>
            </w:pPr>
            <w:r>
              <w:t>Armelle</w:t>
            </w:r>
          </w:p>
          <w:p w:rsidR="0010520A" w:rsidRDefault="009A1128">
            <w:pPr>
              <w:jc w:val="both"/>
              <w:rPr>
                <w:rFonts w:hint="eastAsia"/>
              </w:rPr>
            </w:pPr>
            <w:r>
              <w:t>Benoît</w:t>
            </w:r>
          </w:p>
          <w:p w:rsidR="0010520A" w:rsidRDefault="009A1128">
            <w:pPr>
              <w:ind w:left="720"/>
              <w:jc w:val="both"/>
              <w:rPr>
                <w:rFonts w:hint="eastAsia"/>
              </w:rPr>
            </w:pPr>
            <w:r>
              <w:t>Catherine</w:t>
            </w:r>
          </w:p>
          <w:p w:rsidR="0010520A" w:rsidRDefault="009A1128">
            <w:pPr>
              <w:ind w:left="720"/>
              <w:jc w:val="both"/>
              <w:rPr>
                <w:rFonts w:hint="eastAsia"/>
              </w:rPr>
            </w:pPr>
            <w:r>
              <w:t>Claude J.</w:t>
            </w:r>
          </w:p>
          <w:p w:rsidR="0010520A" w:rsidRDefault="009A1128">
            <w:pPr>
              <w:ind w:left="720"/>
              <w:jc w:val="both"/>
              <w:rPr>
                <w:rFonts w:hint="eastAsia"/>
              </w:rPr>
            </w:pPr>
            <w:r>
              <w:t>Claude P.</w:t>
            </w:r>
          </w:p>
          <w:p w:rsidR="0010520A" w:rsidRDefault="009A1128">
            <w:pPr>
              <w:ind w:left="720"/>
              <w:jc w:val="both"/>
              <w:rPr>
                <w:rFonts w:hint="eastAsia"/>
              </w:rPr>
            </w:pPr>
            <w:r>
              <w:t>Eric</w:t>
            </w:r>
          </w:p>
          <w:p w:rsidR="0010520A" w:rsidRDefault="009A1128">
            <w:pPr>
              <w:ind w:left="720"/>
              <w:jc w:val="both"/>
              <w:rPr>
                <w:rFonts w:hint="eastAsia"/>
              </w:rPr>
            </w:pPr>
            <w:r>
              <w:t>Évelyne</w:t>
            </w:r>
          </w:p>
          <w:p w:rsidR="0010520A" w:rsidRDefault="009A1128">
            <w:pPr>
              <w:ind w:left="720"/>
              <w:jc w:val="both"/>
              <w:rPr>
                <w:rFonts w:hint="eastAsia"/>
              </w:rPr>
            </w:pPr>
            <w:r>
              <w:t>Henri</w:t>
            </w:r>
          </w:p>
        </w:tc>
        <w:tc>
          <w:tcPr>
            <w:tcW w:w="4820" w:type="dxa"/>
          </w:tcPr>
          <w:p w:rsidR="0010520A" w:rsidRDefault="009A1128">
            <w:pPr>
              <w:ind w:left="720"/>
              <w:jc w:val="both"/>
              <w:rPr>
                <w:rFonts w:hint="eastAsia"/>
              </w:rPr>
            </w:pPr>
            <w:r>
              <w:t>Janine</w:t>
            </w:r>
          </w:p>
          <w:p w:rsidR="0010520A" w:rsidRDefault="009A1128">
            <w:pPr>
              <w:ind w:left="720"/>
              <w:jc w:val="both"/>
              <w:rPr>
                <w:rFonts w:hint="eastAsia"/>
              </w:rPr>
            </w:pPr>
            <w:r>
              <w:t>Joël</w:t>
            </w:r>
          </w:p>
          <w:p w:rsidR="0010520A" w:rsidRDefault="009A1128">
            <w:pPr>
              <w:ind w:left="720"/>
              <w:jc w:val="both"/>
              <w:rPr>
                <w:rFonts w:hint="eastAsia"/>
              </w:rPr>
            </w:pPr>
            <w:r>
              <w:t>Nelly</w:t>
            </w:r>
          </w:p>
          <w:p w:rsidR="0010520A" w:rsidRDefault="009A1128">
            <w:pPr>
              <w:ind w:left="720"/>
              <w:jc w:val="both"/>
              <w:rPr>
                <w:rFonts w:hint="eastAsia"/>
              </w:rPr>
            </w:pPr>
            <w:r>
              <w:t>Jean-René</w:t>
            </w:r>
          </w:p>
          <w:p w:rsidR="0010520A" w:rsidRDefault="009A1128">
            <w:pPr>
              <w:ind w:left="720"/>
              <w:jc w:val="both"/>
              <w:rPr>
                <w:rFonts w:hint="eastAsia"/>
              </w:rPr>
            </w:pPr>
            <w:r>
              <w:t>Marie-Claire</w:t>
            </w:r>
          </w:p>
          <w:p w:rsidR="0010520A" w:rsidRDefault="009A1128">
            <w:pPr>
              <w:ind w:left="720"/>
              <w:jc w:val="both"/>
              <w:rPr>
                <w:rFonts w:hint="eastAsia"/>
              </w:rPr>
            </w:pPr>
            <w:bookmarkStart w:id="0" w:name="_GoBack"/>
            <w:bookmarkEnd w:id="0"/>
            <w:r>
              <w:t>Paulette</w:t>
            </w:r>
          </w:p>
          <w:p w:rsidR="0010520A" w:rsidRDefault="009A1128">
            <w:pPr>
              <w:ind w:left="720"/>
              <w:jc w:val="both"/>
              <w:rPr>
                <w:rFonts w:hint="eastAsia"/>
              </w:rPr>
            </w:pPr>
            <w:r>
              <w:t>Sébastien</w:t>
            </w:r>
          </w:p>
        </w:tc>
      </w:tr>
    </w:tbl>
    <w:p w:rsidR="0010520A" w:rsidRDefault="0010520A">
      <w:pPr>
        <w:jc w:val="both"/>
        <w:rPr>
          <w:rFonts w:hint="eastAsia"/>
        </w:rPr>
      </w:pPr>
    </w:p>
    <w:p w:rsidR="0010520A" w:rsidRDefault="0010520A">
      <w:pPr>
        <w:jc w:val="both"/>
        <w:rPr>
          <w:rFonts w:hint="eastAsia"/>
        </w:rPr>
      </w:pPr>
    </w:p>
    <w:p w:rsidR="0010520A" w:rsidRDefault="009A1128">
      <w:pPr>
        <w:jc w:val="both"/>
        <w:rPr>
          <w:rFonts w:hint="eastAsia"/>
        </w:rPr>
      </w:pPr>
      <w:r>
        <w:rPr>
          <w:b/>
          <w:bCs/>
          <w:u w:val="single"/>
        </w:rPr>
        <w:t>Absents</w:t>
      </w:r>
      <w:r>
        <w:rPr>
          <w:b/>
          <w:bCs/>
          <w:u w:val="single"/>
        </w:rPr>
        <w:t xml:space="preserve"> excusés  :</w:t>
      </w:r>
      <w:r>
        <w:t xml:space="preserve"> </w:t>
      </w:r>
      <w:r>
        <w:tab/>
      </w:r>
      <w:r>
        <w:tab/>
      </w:r>
      <w:r>
        <w:tab/>
      </w:r>
      <w:r>
        <w:tab/>
      </w:r>
      <w:r>
        <w:tab/>
      </w:r>
      <w:r>
        <w:rPr>
          <w:b/>
          <w:bCs/>
          <w:u w:val="single"/>
        </w:rPr>
        <w:t>Absente</w:t>
      </w:r>
    </w:p>
    <w:tbl>
      <w:tblPr>
        <w:tblW w:w="9638" w:type="dxa"/>
        <w:tblCellMar>
          <w:left w:w="0" w:type="dxa"/>
          <w:right w:w="0" w:type="dxa"/>
        </w:tblCellMar>
        <w:tblLook w:val="04A0" w:firstRow="1" w:lastRow="0" w:firstColumn="1" w:lastColumn="0" w:noHBand="0" w:noVBand="1"/>
      </w:tblPr>
      <w:tblGrid>
        <w:gridCol w:w="4818"/>
        <w:gridCol w:w="4820"/>
      </w:tblGrid>
      <w:tr w:rsidR="0010520A">
        <w:tc>
          <w:tcPr>
            <w:tcW w:w="4818" w:type="dxa"/>
          </w:tcPr>
          <w:p w:rsidR="0010520A" w:rsidRDefault="009A1128">
            <w:pPr>
              <w:pStyle w:val="Contenudetableau"/>
              <w:numPr>
                <w:ilvl w:val="0"/>
                <w:numId w:val="2"/>
              </w:numPr>
              <w:rPr>
                <w:rFonts w:hint="eastAsia"/>
              </w:rPr>
            </w:pPr>
            <w:r>
              <w:t>Anne-Sophie</w:t>
            </w:r>
          </w:p>
          <w:p w:rsidR="0010520A" w:rsidRDefault="009A1128">
            <w:pPr>
              <w:pStyle w:val="Contenudetableau"/>
              <w:numPr>
                <w:ilvl w:val="0"/>
                <w:numId w:val="2"/>
              </w:numPr>
              <w:rPr>
                <w:rFonts w:hint="eastAsia"/>
              </w:rPr>
            </w:pPr>
            <w:r>
              <w:t>Bernard</w:t>
            </w:r>
          </w:p>
          <w:p w:rsidR="0010520A" w:rsidRDefault="009A1128">
            <w:pPr>
              <w:pStyle w:val="Contenudetableau"/>
              <w:numPr>
                <w:ilvl w:val="0"/>
                <w:numId w:val="2"/>
              </w:numPr>
              <w:rPr>
                <w:rFonts w:hint="eastAsia"/>
              </w:rPr>
            </w:pPr>
            <w:r>
              <w:t>Céline</w:t>
            </w:r>
          </w:p>
          <w:p w:rsidR="0010520A" w:rsidRDefault="009A1128">
            <w:pPr>
              <w:pStyle w:val="Contenudetableau"/>
              <w:numPr>
                <w:ilvl w:val="0"/>
                <w:numId w:val="2"/>
              </w:numPr>
              <w:rPr>
                <w:rFonts w:hint="eastAsia"/>
              </w:rPr>
            </w:pPr>
            <w:r>
              <w:t>Marie-T.</w:t>
            </w:r>
          </w:p>
        </w:tc>
        <w:tc>
          <w:tcPr>
            <w:tcW w:w="4820" w:type="dxa"/>
          </w:tcPr>
          <w:p w:rsidR="0010520A" w:rsidRDefault="009A1128">
            <w:pPr>
              <w:pStyle w:val="Contenudetableau"/>
              <w:numPr>
                <w:ilvl w:val="0"/>
                <w:numId w:val="2"/>
              </w:numPr>
              <w:rPr>
                <w:rFonts w:hint="eastAsia"/>
              </w:rPr>
            </w:pPr>
            <w:r>
              <w:t>Famille Cazin</w:t>
            </w:r>
          </w:p>
        </w:tc>
      </w:tr>
    </w:tbl>
    <w:p w:rsidR="0010520A" w:rsidRDefault="009A1128">
      <w:pPr>
        <w:ind w:left="1440"/>
        <w:rPr>
          <w:rFonts w:hint="eastAsia"/>
          <w:b/>
        </w:rPr>
      </w:pPr>
      <w:r>
        <w:rPr>
          <w:b/>
        </w:rPr>
        <w:t xml:space="preserve"> </w:t>
      </w:r>
    </w:p>
    <w:p w:rsidR="0010520A" w:rsidRDefault="0010520A">
      <w:pPr>
        <w:rPr>
          <w:rFonts w:hint="eastAsia"/>
          <w:b/>
        </w:rPr>
      </w:pPr>
    </w:p>
    <w:p w:rsidR="0010520A" w:rsidRDefault="009A1128">
      <w:pPr>
        <w:jc w:val="both"/>
        <w:rPr>
          <w:rFonts w:hint="eastAsia"/>
          <w:b/>
          <w:u w:val="single"/>
        </w:rPr>
      </w:pPr>
      <w:r>
        <w:rPr>
          <w:b/>
          <w:u w:val="single"/>
        </w:rPr>
        <w:t xml:space="preserve">Ordre du jour </w:t>
      </w:r>
    </w:p>
    <w:p w:rsidR="0010520A" w:rsidRDefault="009A1128">
      <w:pPr>
        <w:numPr>
          <w:ilvl w:val="0"/>
          <w:numId w:val="4"/>
        </w:numPr>
        <w:jc w:val="both"/>
        <w:rPr>
          <w:rFonts w:hint="eastAsia"/>
        </w:rPr>
      </w:pPr>
      <w:r>
        <w:t>Approbation compte rendu du 11 octobre 2020</w:t>
      </w:r>
    </w:p>
    <w:p w:rsidR="0010520A" w:rsidRDefault="009A1128">
      <w:pPr>
        <w:numPr>
          <w:ilvl w:val="0"/>
          <w:numId w:val="4"/>
        </w:numPr>
        <w:jc w:val="both"/>
        <w:rPr>
          <w:rFonts w:hint="eastAsia"/>
        </w:rPr>
      </w:pPr>
      <w:r>
        <w:t>Tour de table ‘météo’</w:t>
      </w:r>
    </w:p>
    <w:p w:rsidR="0010520A" w:rsidRDefault="009A1128">
      <w:pPr>
        <w:numPr>
          <w:ilvl w:val="0"/>
          <w:numId w:val="4"/>
        </w:numPr>
        <w:jc w:val="both"/>
        <w:rPr>
          <w:rFonts w:hint="eastAsia"/>
        </w:rPr>
      </w:pPr>
      <w:r>
        <w:t>Suivi des décisions</w:t>
      </w:r>
    </w:p>
    <w:p w:rsidR="0010520A" w:rsidRDefault="009A1128">
      <w:pPr>
        <w:numPr>
          <w:ilvl w:val="0"/>
          <w:numId w:val="4"/>
        </w:numPr>
        <w:jc w:val="both"/>
        <w:rPr>
          <w:rFonts w:hint="eastAsia"/>
        </w:rPr>
      </w:pPr>
      <w:r>
        <w:t xml:space="preserve">Jardin : approbation du choix des arbres - choix de la tonnelle, bois ou </w:t>
      </w:r>
      <w:r>
        <w:t>métal</w:t>
      </w:r>
    </w:p>
    <w:p w:rsidR="0010520A" w:rsidRDefault="009A1128">
      <w:pPr>
        <w:numPr>
          <w:ilvl w:val="0"/>
          <w:numId w:val="4"/>
        </w:numPr>
        <w:jc w:val="both"/>
        <w:rPr>
          <w:rFonts w:hint="eastAsia"/>
        </w:rPr>
      </w:pPr>
      <w:r>
        <w:t xml:space="preserve">Pré-constitution des groupes pour le TIC du 21 novembre. </w:t>
      </w:r>
      <w:r>
        <w:rPr>
          <w:i/>
          <w:iCs/>
        </w:rPr>
        <w:t>Si possible associer ‘naïfs’ et ‘sachants’ dans les différents postes, par ex. buanderie, atelier, jardin...</w:t>
      </w:r>
    </w:p>
    <w:p w:rsidR="0010520A" w:rsidRDefault="009A1128">
      <w:pPr>
        <w:numPr>
          <w:ilvl w:val="0"/>
          <w:numId w:val="4"/>
        </w:numPr>
        <w:jc w:val="both"/>
        <w:rPr>
          <w:rFonts w:hint="eastAsia"/>
        </w:rPr>
      </w:pPr>
      <w:r>
        <w:t>Problèmes au niveau du parking : visiteurs - éclairage.</w:t>
      </w:r>
    </w:p>
    <w:p w:rsidR="0010520A" w:rsidRDefault="009A1128">
      <w:pPr>
        <w:numPr>
          <w:ilvl w:val="0"/>
          <w:numId w:val="4"/>
        </w:numPr>
        <w:jc w:val="both"/>
        <w:rPr>
          <w:rFonts w:hint="eastAsia"/>
        </w:rPr>
      </w:pPr>
      <w:r>
        <w:t>Prises de décisions dans les</w:t>
      </w:r>
      <w:r>
        <w:t xml:space="preserve"> situations d’urgence : bois de récupération et stockage malencontreux - tri hâtif du mobilier de jardin pour les encombrants</w:t>
      </w:r>
    </w:p>
    <w:p w:rsidR="0010520A" w:rsidRDefault="009A1128">
      <w:pPr>
        <w:numPr>
          <w:ilvl w:val="0"/>
          <w:numId w:val="4"/>
        </w:numPr>
        <w:jc w:val="both"/>
        <w:rPr>
          <w:rFonts w:hint="eastAsia"/>
        </w:rPr>
      </w:pPr>
      <w:r>
        <w:t>Questions diverses</w:t>
      </w:r>
    </w:p>
    <w:p w:rsidR="0010520A" w:rsidRDefault="009A1128">
      <w:pPr>
        <w:numPr>
          <w:ilvl w:val="0"/>
          <w:numId w:val="4"/>
        </w:numPr>
        <w:jc w:val="both"/>
        <w:rPr>
          <w:rFonts w:hint="eastAsia"/>
        </w:rPr>
      </w:pPr>
      <w:r>
        <w:t>Récapitulatif des prises de décision.</w:t>
      </w:r>
    </w:p>
    <w:p w:rsidR="0010520A" w:rsidRDefault="0010520A">
      <w:pPr>
        <w:ind w:left="708" w:firstLine="708"/>
        <w:jc w:val="both"/>
        <w:rPr>
          <w:rFonts w:hint="eastAsia"/>
          <w:b/>
          <w:sz w:val="28"/>
          <w:szCs w:val="28"/>
        </w:rPr>
      </w:pPr>
    </w:p>
    <w:p w:rsidR="0010520A" w:rsidRDefault="0010520A">
      <w:pPr>
        <w:ind w:left="708" w:firstLine="708"/>
        <w:jc w:val="both"/>
        <w:rPr>
          <w:rFonts w:hint="eastAsia"/>
          <w:b/>
          <w:sz w:val="28"/>
          <w:szCs w:val="28"/>
        </w:rPr>
      </w:pPr>
    </w:p>
    <w:p w:rsidR="0010520A" w:rsidRDefault="009A1128">
      <w:pPr>
        <w:jc w:val="center"/>
        <w:rPr>
          <w:rFonts w:hint="eastAsia"/>
          <w:b/>
          <w:sz w:val="28"/>
          <w:szCs w:val="28"/>
        </w:rPr>
      </w:pPr>
      <w:r>
        <w:rPr>
          <w:b/>
          <w:sz w:val="28"/>
          <w:szCs w:val="28"/>
        </w:rPr>
        <w:t>***</w:t>
      </w:r>
    </w:p>
    <w:p w:rsidR="0010520A" w:rsidRDefault="0010520A">
      <w:pPr>
        <w:ind w:left="708" w:firstLine="708"/>
        <w:jc w:val="both"/>
        <w:rPr>
          <w:rFonts w:hint="eastAsia"/>
        </w:rPr>
      </w:pPr>
    </w:p>
    <w:p w:rsidR="0010520A" w:rsidRDefault="0010520A">
      <w:pPr>
        <w:ind w:left="708" w:firstLine="708"/>
        <w:jc w:val="both"/>
        <w:rPr>
          <w:rFonts w:hint="eastAsia"/>
        </w:rPr>
      </w:pPr>
    </w:p>
    <w:p w:rsidR="0010520A" w:rsidRDefault="009A1128">
      <w:pPr>
        <w:jc w:val="both"/>
        <w:rPr>
          <w:rFonts w:hint="eastAsia"/>
        </w:rPr>
      </w:pPr>
      <w:r>
        <w:rPr>
          <w:b/>
          <w:bCs/>
        </w:rPr>
        <w:t>Approbation du compte rendu de la réunion du 11 octobre 2020</w:t>
      </w:r>
      <w:r>
        <w:t xml:space="preserve"> </w:t>
      </w:r>
    </w:p>
    <w:p w:rsidR="0010520A" w:rsidRDefault="009A1128">
      <w:pPr>
        <w:numPr>
          <w:ilvl w:val="0"/>
          <w:numId w:val="5"/>
        </w:numPr>
        <w:jc w:val="both"/>
        <w:rPr>
          <w:rFonts w:hint="eastAsia"/>
        </w:rPr>
      </w:pPr>
      <w:r>
        <w:t>Com</w:t>
      </w:r>
      <w:r>
        <w:t>pte rendu approuvé.</w:t>
      </w:r>
    </w:p>
    <w:p w:rsidR="0010520A" w:rsidRDefault="0010520A">
      <w:pPr>
        <w:jc w:val="both"/>
        <w:rPr>
          <w:rFonts w:hint="eastAsia"/>
        </w:rPr>
      </w:pPr>
    </w:p>
    <w:p w:rsidR="0010520A" w:rsidRDefault="0010520A">
      <w:pPr>
        <w:jc w:val="both"/>
        <w:rPr>
          <w:rFonts w:hint="eastAsia"/>
        </w:rPr>
      </w:pPr>
    </w:p>
    <w:p w:rsidR="0010520A" w:rsidRDefault="009A1128">
      <w:pPr>
        <w:jc w:val="both"/>
        <w:rPr>
          <w:rFonts w:hint="eastAsia"/>
          <w:b/>
          <w:bCs/>
        </w:rPr>
      </w:pPr>
      <w:r>
        <w:rPr>
          <w:b/>
          <w:bCs/>
        </w:rPr>
        <w:t>Relecture rapide des décisions faites et en cours</w:t>
      </w:r>
    </w:p>
    <w:p w:rsidR="0010520A" w:rsidRDefault="009A1128">
      <w:pPr>
        <w:numPr>
          <w:ilvl w:val="0"/>
          <w:numId w:val="6"/>
        </w:numPr>
        <w:jc w:val="both"/>
        <w:rPr>
          <w:rFonts w:hint="eastAsia"/>
        </w:rPr>
      </w:pPr>
      <w:r>
        <w:t>Cf. document annexé.</w:t>
      </w:r>
    </w:p>
    <w:p w:rsidR="0010520A" w:rsidRDefault="0010520A">
      <w:pPr>
        <w:pStyle w:val="Paragraphedeliste"/>
        <w:ind w:left="0"/>
        <w:rPr>
          <w:rFonts w:hint="eastAsia"/>
        </w:rPr>
      </w:pPr>
    </w:p>
    <w:p w:rsidR="0010520A" w:rsidRDefault="0010520A">
      <w:pPr>
        <w:pStyle w:val="Paragraphedeliste"/>
        <w:ind w:left="0"/>
        <w:rPr>
          <w:rFonts w:hint="eastAsia"/>
        </w:rPr>
      </w:pPr>
    </w:p>
    <w:p w:rsidR="0010520A" w:rsidRDefault="0010520A">
      <w:pPr>
        <w:pStyle w:val="Paragraphedeliste"/>
        <w:ind w:left="0"/>
        <w:rPr>
          <w:rFonts w:hint="eastAsia"/>
        </w:rPr>
      </w:pPr>
    </w:p>
    <w:p w:rsidR="0010520A" w:rsidRDefault="0010520A">
      <w:pPr>
        <w:pStyle w:val="Paragraphedeliste"/>
        <w:ind w:left="0"/>
        <w:rPr>
          <w:rFonts w:hint="eastAsia"/>
        </w:rPr>
      </w:pPr>
    </w:p>
    <w:p w:rsidR="0010520A" w:rsidRDefault="009A1128">
      <w:pPr>
        <w:jc w:val="both"/>
        <w:rPr>
          <w:rFonts w:hint="eastAsia"/>
          <w:b/>
          <w:bCs/>
        </w:rPr>
      </w:pPr>
      <w:r>
        <w:rPr>
          <w:b/>
          <w:bCs/>
        </w:rPr>
        <w:lastRenderedPageBreak/>
        <w:t>JARDIN</w:t>
      </w:r>
    </w:p>
    <w:p w:rsidR="0010520A" w:rsidRDefault="009A1128">
      <w:pPr>
        <w:jc w:val="both"/>
        <w:rPr>
          <w:rFonts w:hint="eastAsia"/>
          <w:b/>
          <w:bCs/>
        </w:rPr>
      </w:pPr>
      <w:r>
        <w:rPr>
          <w:b/>
          <w:bCs/>
        </w:rPr>
        <w:t>Choix de la tonnelle, bois ou métal</w:t>
      </w:r>
    </w:p>
    <w:p w:rsidR="0010520A" w:rsidRDefault="009A1128">
      <w:pPr>
        <w:pStyle w:val="Paragraphedeliste"/>
        <w:numPr>
          <w:ilvl w:val="0"/>
          <w:numId w:val="7"/>
        </w:numPr>
        <w:rPr>
          <w:rFonts w:hint="eastAsia"/>
        </w:rPr>
      </w:pPr>
      <w:r>
        <w:t xml:space="preserve">La tonnelle aurait 2,5m de hauteur et serait enfoncée de 30cm dans le sol. 3 tables en longueur pourraient y être </w:t>
      </w:r>
      <w:r>
        <w:t>installées.</w:t>
      </w:r>
    </w:p>
    <w:tbl>
      <w:tblPr>
        <w:tblW w:w="9638" w:type="dxa"/>
        <w:tblCellMar>
          <w:left w:w="0" w:type="dxa"/>
          <w:right w:w="0" w:type="dxa"/>
        </w:tblCellMar>
        <w:tblLook w:val="04A0" w:firstRow="1" w:lastRow="0" w:firstColumn="1" w:lastColumn="0" w:noHBand="0" w:noVBand="1"/>
      </w:tblPr>
      <w:tblGrid>
        <w:gridCol w:w="4818"/>
        <w:gridCol w:w="4820"/>
      </w:tblGrid>
      <w:tr w:rsidR="0010520A">
        <w:tc>
          <w:tcPr>
            <w:tcW w:w="4818" w:type="dxa"/>
          </w:tcPr>
          <w:p w:rsidR="0010520A" w:rsidRDefault="009A1128">
            <w:pPr>
              <w:pStyle w:val="Paragraphedeliste"/>
              <w:numPr>
                <w:ilvl w:val="0"/>
                <w:numId w:val="7"/>
              </w:numPr>
              <w:jc w:val="both"/>
              <w:rPr>
                <w:rFonts w:hint="eastAsia"/>
                <w:u w:val="single"/>
              </w:rPr>
            </w:pPr>
            <w:r>
              <w:rPr>
                <w:u w:val="single"/>
              </w:rPr>
              <w:t>Tonnelle métal</w:t>
            </w:r>
          </w:p>
          <w:p w:rsidR="0010520A" w:rsidRDefault="009A1128">
            <w:pPr>
              <w:pStyle w:val="Paragraphedeliste"/>
              <w:ind w:left="737"/>
              <w:jc w:val="both"/>
              <w:rPr>
                <w:rFonts w:hint="eastAsia"/>
              </w:rPr>
            </w:pPr>
            <w:r>
              <w:t>Coût : 400/450€ (fer 150€ + location atelier de soudure 200/250€ - 15€ /heure) + 50€ de fournitures diverses).</w:t>
            </w:r>
          </w:p>
          <w:p w:rsidR="0010520A" w:rsidRDefault="009A1128">
            <w:pPr>
              <w:pStyle w:val="Paragraphedeliste"/>
              <w:ind w:left="737"/>
              <w:jc w:val="both"/>
              <w:rPr>
                <w:rFonts w:hint="eastAsia"/>
              </w:rPr>
            </w:pPr>
            <w:r>
              <w:t>Temps atelier + pose : 35 heures au total, 2 personnes max. à l’atelier</w:t>
            </w:r>
          </w:p>
          <w:p w:rsidR="0010520A" w:rsidRDefault="009A1128">
            <w:pPr>
              <w:pStyle w:val="Paragraphedeliste"/>
              <w:ind w:left="737"/>
              <w:jc w:val="both"/>
              <w:rPr>
                <w:rFonts w:hint="eastAsia"/>
              </w:rPr>
            </w:pPr>
            <w:r>
              <w:t>En fer peint avec pieds dro</w:t>
            </w:r>
            <w:r>
              <w:t xml:space="preserve">its ; 3,5m </w:t>
            </w:r>
            <w:r>
              <w:t xml:space="preserve">de largeur sur 4m de long. </w:t>
            </w:r>
          </w:p>
          <w:p w:rsidR="0010520A" w:rsidRDefault="009A1128">
            <w:pPr>
              <w:pStyle w:val="Paragraphedeliste"/>
              <w:ind w:left="737"/>
              <w:jc w:val="both"/>
              <w:rPr>
                <w:rFonts w:hint="eastAsia"/>
              </w:rPr>
            </w:pPr>
            <w:r>
              <w:t>Bonne durée de vie ; moins d’entretien que le bois.</w:t>
            </w:r>
          </w:p>
        </w:tc>
        <w:tc>
          <w:tcPr>
            <w:tcW w:w="4820" w:type="dxa"/>
          </w:tcPr>
          <w:p w:rsidR="0010520A" w:rsidRDefault="0010520A">
            <w:pPr>
              <w:pStyle w:val="Paragraphedeliste"/>
              <w:rPr>
                <w:rFonts w:hint="eastAsia"/>
              </w:rPr>
            </w:pPr>
          </w:p>
          <w:p w:rsidR="0010520A" w:rsidRDefault="0010520A">
            <w:pPr>
              <w:pStyle w:val="Paragraphedeliste"/>
              <w:ind w:left="737"/>
              <w:rPr>
                <w:rFonts w:hint="eastAsia"/>
                <w:u w:val="single"/>
              </w:rPr>
            </w:pPr>
          </w:p>
          <w:p w:rsidR="0010520A" w:rsidRDefault="009A1128">
            <w:pPr>
              <w:pStyle w:val="Paragraphedeliste"/>
              <w:ind w:left="737"/>
              <w:rPr>
                <w:rFonts w:hint="eastAsia"/>
              </w:rPr>
            </w:pPr>
            <w:r>
              <w:rPr>
                <w:noProof/>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2715260" cy="1318260"/>
                  <wp:effectExtent l="0" t="0" r="0" b="0"/>
                  <wp:wrapSquare wrapText="largest"/>
                  <wp:docPr id="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pic:cNvPicPr>
                            <a:picLocks noChangeAspect="1" noChangeArrowheads="1"/>
                          </pic:cNvPicPr>
                        </pic:nvPicPr>
                        <pic:blipFill>
                          <a:blip r:embed="rId5"/>
                          <a:stretch>
                            <a:fillRect/>
                          </a:stretch>
                        </pic:blipFill>
                        <pic:spPr bwMode="auto">
                          <a:xfrm>
                            <a:off x="0" y="0"/>
                            <a:ext cx="2715260" cy="1318260"/>
                          </a:xfrm>
                          <a:prstGeom prst="rect">
                            <a:avLst/>
                          </a:prstGeom>
                        </pic:spPr>
                      </pic:pic>
                    </a:graphicData>
                  </a:graphic>
                </wp:anchor>
              </w:drawing>
            </w:r>
          </w:p>
        </w:tc>
      </w:tr>
      <w:tr w:rsidR="0010520A">
        <w:trPr>
          <w:trHeight w:val="2571"/>
        </w:trPr>
        <w:tc>
          <w:tcPr>
            <w:tcW w:w="4818" w:type="dxa"/>
            <w:vAlign w:val="center"/>
          </w:tcPr>
          <w:p w:rsidR="0010520A" w:rsidRDefault="009A1128">
            <w:pPr>
              <w:pStyle w:val="Paragraphedeliste"/>
              <w:numPr>
                <w:ilvl w:val="0"/>
                <w:numId w:val="8"/>
              </w:numPr>
              <w:ind w:left="397" w:firstLine="0"/>
              <w:jc w:val="both"/>
              <w:rPr>
                <w:rFonts w:hint="eastAsia"/>
                <w:u w:val="single"/>
              </w:rPr>
            </w:pPr>
            <w:r>
              <w:rPr>
                <w:u w:val="single"/>
              </w:rPr>
              <w:t>Tonnelle bois</w:t>
            </w:r>
          </w:p>
          <w:p w:rsidR="0010520A" w:rsidRDefault="009A1128">
            <w:pPr>
              <w:pStyle w:val="Paragraphedeliste"/>
              <w:ind w:left="737"/>
              <w:jc w:val="both"/>
              <w:rPr>
                <w:rFonts w:hint="eastAsia"/>
              </w:rPr>
            </w:pPr>
            <w:r>
              <w:t>Coût : 370€ (150€ bois, sabots métalliques 120€, ciment, gravier et vis : 50€, vernis 50€).</w:t>
            </w:r>
          </w:p>
          <w:p w:rsidR="0010520A" w:rsidRDefault="009A1128">
            <w:pPr>
              <w:pStyle w:val="Paragraphedeliste"/>
              <w:ind w:left="737"/>
              <w:jc w:val="both"/>
              <w:rPr>
                <w:rFonts w:hint="eastAsia"/>
              </w:rPr>
            </w:pPr>
            <w:r>
              <w:t>Largeur : 3 m.</w:t>
            </w:r>
          </w:p>
          <w:p w:rsidR="0010520A" w:rsidRDefault="009A1128">
            <w:pPr>
              <w:pStyle w:val="Paragraphedeliste"/>
              <w:ind w:left="737"/>
              <w:jc w:val="both"/>
              <w:rPr>
                <w:rFonts w:hint="eastAsia"/>
              </w:rPr>
            </w:pPr>
            <w:r>
              <w:t xml:space="preserve">Elle serait moins chère, on épargne le coût de </w:t>
            </w:r>
            <w:r>
              <w:t>location de l’atelier.</w:t>
            </w:r>
          </w:p>
          <w:p w:rsidR="0010520A" w:rsidRDefault="009A1128">
            <w:pPr>
              <w:pStyle w:val="Paragraphedeliste"/>
              <w:ind w:left="737"/>
              <w:jc w:val="both"/>
              <w:rPr>
                <w:rFonts w:hint="eastAsia"/>
              </w:rPr>
            </w:pPr>
            <w:r>
              <w:t>Temps estimé : 30 heures ; montage et pose par 3 personnes.</w:t>
            </w:r>
          </w:p>
        </w:tc>
        <w:tc>
          <w:tcPr>
            <w:tcW w:w="4820" w:type="dxa"/>
          </w:tcPr>
          <w:p w:rsidR="0010520A" w:rsidRDefault="009A1128">
            <w:pPr>
              <w:pStyle w:val="Paragraphedeliste"/>
              <w:ind w:left="397"/>
              <w:rPr>
                <w:rFonts w:hint="eastAsia"/>
                <w:u w:val="single"/>
              </w:rPr>
            </w:pPr>
            <w:r>
              <w:rPr>
                <w:noProof/>
                <w:u w:val="single"/>
              </w:rPr>
              <w:drawing>
                <wp:inline distT="0" distB="0" distL="0" distR="0">
                  <wp:extent cx="1545590" cy="20605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1545590" cy="2060575"/>
                          </a:xfrm>
                          <a:prstGeom prst="rect">
                            <a:avLst/>
                          </a:prstGeom>
                        </pic:spPr>
                      </pic:pic>
                    </a:graphicData>
                  </a:graphic>
                </wp:inline>
              </w:drawing>
            </w:r>
          </w:p>
        </w:tc>
      </w:tr>
    </w:tbl>
    <w:p w:rsidR="0010520A" w:rsidRDefault="009A1128">
      <w:pPr>
        <w:pStyle w:val="Paragraphedeliste"/>
        <w:numPr>
          <w:ilvl w:val="0"/>
          <w:numId w:val="7"/>
        </w:numPr>
        <w:jc w:val="both"/>
        <w:rPr>
          <w:rFonts w:hint="eastAsia"/>
        </w:rPr>
      </w:pPr>
      <w:r>
        <w:t>Pas d’urgence à faire ce choix ; un tour de table rapide montre que la majorité du groupe s’orienterait vers une tonnelle en métal.</w:t>
      </w:r>
    </w:p>
    <w:p w:rsidR="0010520A" w:rsidRDefault="009A1128">
      <w:pPr>
        <w:pStyle w:val="Paragraphedeliste"/>
        <w:numPr>
          <w:ilvl w:val="0"/>
          <w:numId w:val="7"/>
        </w:numPr>
        <w:jc w:val="both"/>
        <w:rPr>
          <w:rFonts w:hint="eastAsia"/>
        </w:rPr>
      </w:pPr>
      <w:r>
        <w:t>Dans l’immédiat, les plantes peuvent ê</w:t>
      </w:r>
      <w:r>
        <w:t>tre mises en terre, les feuillus pour l’été notamment.</w:t>
      </w:r>
    </w:p>
    <w:p w:rsidR="0010520A" w:rsidRDefault="0010520A">
      <w:pPr>
        <w:jc w:val="both"/>
        <w:rPr>
          <w:rFonts w:hint="eastAsia"/>
        </w:rPr>
      </w:pPr>
    </w:p>
    <w:p w:rsidR="0010520A" w:rsidRDefault="009A1128">
      <w:pPr>
        <w:pStyle w:val="Paragraphedeliste"/>
        <w:ind w:left="0"/>
        <w:jc w:val="both"/>
        <w:rPr>
          <w:rFonts w:hint="eastAsia"/>
        </w:rPr>
      </w:pPr>
      <w:r>
        <w:rPr>
          <w:b/>
        </w:rPr>
        <w:t>Choix des arbres</w:t>
      </w:r>
      <w:r>
        <w:t> :</w:t>
      </w:r>
      <w:r>
        <w:t xml:space="preserve"> </w:t>
      </w:r>
    </w:p>
    <w:p w:rsidR="0010520A" w:rsidRDefault="009A1128">
      <w:pPr>
        <w:pStyle w:val="Paragraphedeliste"/>
        <w:numPr>
          <w:ilvl w:val="0"/>
          <w:numId w:val="9"/>
        </w:numPr>
        <w:jc w:val="both"/>
        <w:rPr>
          <w:rFonts w:hint="eastAsia"/>
        </w:rPr>
      </w:pPr>
      <w:r>
        <w:t>Le choix des essences a déjà été validé.</w:t>
      </w:r>
    </w:p>
    <w:p w:rsidR="0010520A" w:rsidRDefault="009A1128">
      <w:pPr>
        <w:pStyle w:val="Paragraphedeliste"/>
        <w:numPr>
          <w:ilvl w:val="0"/>
          <w:numId w:val="9"/>
        </w:numPr>
        <w:jc w:val="both"/>
        <w:rPr>
          <w:rFonts w:hint="eastAsia"/>
        </w:rPr>
      </w:pPr>
      <w:r>
        <w:t>Sont à disposition : pommier Melrose, pêcher de vigne, noisetiers (à planter rapidement) et noyer ; ce dernier, tout petit, va rester en po</w:t>
      </w:r>
      <w:r>
        <w:t>t.</w:t>
      </w:r>
    </w:p>
    <w:p w:rsidR="0010520A" w:rsidRDefault="009A1128">
      <w:pPr>
        <w:pStyle w:val="Paragraphedeliste"/>
        <w:numPr>
          <w:ilvl w:val="0"/>
          <w:numId w:val="9"/>
        </w:numPr>
        <w:jc w:val="both"/>
        <w:rPr>
          <w:rFonts w:hint="eastAsia"/>
        </w:rPr>
      </w:pPr>
      <w:r>
        <w:t xml:space="preserve">Sont à acheter : pommier Rambaud (haute tige), poirier comice (1/2 tige) et cognassier de préférence Vranja. </w:t>
      </w:r>
    </w:p>
    <w:p w:rsidR="0010520A" w:rsidRDefault="009A1128">
      <w:pPr>
        <w:pStyle w:val="Paragraphedeliste"/>
        <w:numPr>
          <w:ilvl w:val="0"/>
          <w:numId w:val="9"/>
        </w:numPr>
        <w:jc w:val="both"/>
        <w:rPr>
          <w:rFonts w:hint="eastAsia"/>
        </w:rPr>
      </w:pPr>
      <w:r>
        <w:t>C’est le pommier Rambaud qui servira d’arbre à palabres ; c’est une vieille variété normande produisant des pommes un peu tardives qui se conse</w:t>
      </w:r>
      <w:r>
        <w:t xml:space="preserve">rvent longtemps . </w:t>
      </w:r>
    </w:p>
    <w:p w:rsidR="0010520A" w:rsidRDefault="009A1128">
      <w:pPr>
        <w:pStyle w:val="Paragraphedeliste"/>
        <w:numPr>
          <w:ilvl w:val="0"/>
          <w:numId w:val="9"/>
        </w:numPr>
        <w:jc w:val="both"/>
        <w:rPr>
          <w:rFonts w:hint="eastAsia"/>
        </w:rPr>
      </w:pPr>
      <w:r>
        <w:t>Propositions acceptées à l’unanimité.</w:t>
      </w:r>
    </w:p>
    <w:p w:rsidR="0010520A" w:rsidRDefault="0010520A">
      <w:pPr>
        <w:pStyle w:val="Paragraphedeliste"/>
        <w:rPr>
          <w:rFonts w:hint="eastAsia"/>
          <w:b/>
        </w:rPr>
      </w:pPr>
    </w:p>
    <w:p w:rsidR="0010520A" w:rsidRDefault="009A1128">
      <w:pPr>
        <w:pStyle w:val="Paragraphedeliste"/>
        <w:ind w:left="0"/>
        <w:rPr>
          <w:rFonts w:hint="eastAsia"/>
        </w:rPr>
      </w:pPr>
      <w:r>
        <w:rPr>
          <w:b/>
        </w:rPr>
        <w:t>TRAVAUX D’INTÉRÊT COLLECTIF : samedi 21 novembre</w:t>
      </w:r>
    </w:p>
    <w:p w:rsidR="0010520A" w:rsidRDefault="009A1128">
      <w:pPr>
        <w:pStyle w:val="Paragraphedeliste"/>
        <w:numPr>
          <w:ilvl w:val="0"/>
          <w:numId w:val="10"/>
        </w:numPr>
        <w:jc w:val="both"/>
        <w:rPr>
          <w:rFonts w:hint="eastAsia"/>
        </w:rPr>
      </w:pPr>
      <w:r>
        <w:t xml:space="preserve">On peut s’inscrire le matin sur un atelier, l’après-midi sur un autre ; le tableau Velleda dans l’entrée est à disposition. Il est suggéré que les </w:t>
      </w:r>
      <w:r>
        <w:t xml:space="preserve">ateliers aient un référent – noté ‘R’ dans les inscriptions - qui se chargera de fournir le petit matériel utile. </w:t>
      </w:r>
    </w:p>
    <w:p w:rsidR="0010520A" w:rsidRDefault="009A1128">
      <w:pPr>
        <w:pStyle w:val="Paragraphedeliste"/>
        <w:numPr>
          <w:ilvl w:val="0"/>
          <w:numId w:val="10"/>
        </w:numPr>
        <w:jc w:val="both"/>
        <w:rPr>
          <w:rFonts w:hint="eastAsia"/>
        </w:rPr>
      </w:pPr>
      <w:r>
        <w:t>Atelier ‘</w:t>
      </w:r>
      <w:r>
        <w:rPr>
          <w:i/>
          <w:iCs/>
        </w:rPr>
        <w:t>Objets mutualisés</w:t>
      </w:r>
      <w:r>
        <w:t xml:space="preserve">’ : en réaliser l’inventaire et pour ce faire se rapprocher d’Eric et de sa liste. </w:t>
      </w:r>
    </w:p>
    <w:p w:rsidR="0010520A" w:rsidRDefault="009A1128">
      <w:pPr>
        <w:pStyle w:val="Paragraphedeliste"/>
        <w:numPr>
          <w:ilvl w:val="0"/>
          <w:numId w:val="10"/>
        </w:numPr>
        <w:jc w:val="both"/>
        <w:rPr>
          <w:rFonts w:hint="eastAsia"/>
        </w:rPr>
      </w:pPr>
      <w:r>
        <w:t>Atelier ‘</w:t>
      </w:r>
      <w:r>
        <w:rPr>
          <w:i/>
          <w:iCs/>
        </w:rPr>
        <w:t>Bibliothèque</w:t>
      </w:r>
      <w:r>
        <w:t xml:space="preserve">’ : d’une </w:t>
      </w:r>
      <w:r>
        <w:t>part répertorier les livres mis à disposition, d’autre part réaliser un sondage auprès des habitants pour connaître leurs attentes. Il y a un problème de place qu’il faut impérativement prendre en compte. On avait parlé d’un abonnement à laisser dans la GS</w:t>
      </w:r>
      <w:r>
        <w:t>.</w:t>
      </w:r>
    </w:p>
    <w:p w:rsidR="0010520A" w:rsidRDefault="009A1128">
      <w:pPr>
        <w:pStyle w:val="Paragraphedeliste"/>
        <w:numPr>
          <w:ilvl w:val="0"/>
          <w:numId w:val="10"/>
        </w:numPr>
        <w:jc w:val="both"/>
        <w:rPr>
          <w:rFonts w:hint="eastAsia"/>
        </w:rPr>
      </w:pPr>
      <w:r>
        <w:lastRenderedPageBreak/>
        <w:t>Atelier ‘</w:t>
      </w:r>
      <w:r>
        <w:rPr>
          <w:i/>
          <w:iCs/>
        </w:rPr>
        <w:t>Ménage</w:t>
      </w:r>
      <w:r>
        <w:t>’: ne pas oublier les poubelles qu’il est difficile de nettoyer seul.</w:t>
      </w:r>
    </w:p>
    <w:p w:rsidR="0010520A" w:rsidRDefault="0010520A">
      <w:pPr>
        <w:pStyle w:val="Paragraphedeliste"/>
        <w:jc w:val="both"/>
        <w:rPr>
          <w:rFonts w:hint="eastAsia"/>
        </w:rPr>
      </w:pPr>
    </w:p>
    <w:p w:rsidR="0010520A" w:rsidRDefault="009A1128">
      <w:pPr>
        <w:pStyle w:val="Paragraphedeliste"/>
        <w:ind w:left="0"/>
        <w:jc w:val="both"/>
        <w:rPr>
          <w:rFonts w:hint="eastAsia"/>
        </w:rPr>
      </w:pPr>
      <w:r>
        <w:rPr>
          <w:b/>
        </w:rPr>
        <w:t>PARKINGS</w:t>
      </w:r>
    </w:p>
    <w:p w:rsidR="0010520A" w:rsidRDefault="009A1128">
      <w:pPr>
        <w:pStyle w:val="Paragraphedeliste"/>
        <w:ind w:left="0"/>
        <w:jc w:val="both"/>
        <w:rPr>
          <w:rFonts w:hint="eastAsia"/>
          <w:b/>
        </w:rPr>
      </w:pPr>
      <w:r>
        <w:rPr>
          <w:b/>
        </w:rPr>
        <w:t>Éclairage</w:t>
      </w:r>
    </w:p>
    <w:p w:rsidR="0010520A" w:rsidRDefault="009A1128">
      <w:pPr>
        <w:pStyle w:val="Paragraphedeliste"/>
        <w:numPr>
          <w:ilvl w:val="0"/>
          <w:numId w:val="11"/>
        </w:numPr>
        <w:jc w:val="both"/>
        <w:rPr>
          <w:rFonts w:hint="eastAsia"/>
        </w:rPr>
      </w:pPr>
      <w:r>
        <w:t>En été, les lumières sur le parking sont inutiles, ce n’est pas le cas en hiver où le lieu est très sombre. L’idéal serait un éclairage qui détectera</w:t>
      </w:r>
      <w:r>
        <w:t xml:space="preserve">it les mouvements et/ou un système d’horloge climatique avec une programmation annuelle. Eric et Jean-René étudient la question. </w:t>
      </w:r>
    </w:p>
    <w:p w:rsidR="0010520A" w:rsidRDefault="009A1128">
      <w:pPr>
        <w:pStyle w:val="Paragraphedeliste"/>
        <w:numPr>
          <w:ilvl w:val="0"/>
          <w:numId w:val="11"/>
        </w:numPr>
        <w:jc w:val="both"/>
        <w:rPr>
          <w:rFonts w:hint="eastAsia"/>
        </w:rPr>
      </w:pPr>
      <w:r>
        <w:t>Par ailleurs, il semble que l’éclairage est agressif : les habitants des 1</w:t>
      </w:r>
      <w:r>
        <w:rPr>
          <w:vertAlign w:val="superscript"/>
        </w:rPr>
        <w:t>er</w:t>
      </w:r>
      <w:r>
        <w:t xml:space="preserve"> et 2ème étage sont importunés, il en va de même d</w:t>
      </w:r>
      <w:r>
        <w:t>e certains voisins de l’immeuble en face. Pourrait-il être réduit en changeant les ampoules ?</w:t>
      </w:r>
    </w:p>
    <w:p w:rsidR="0010520A" w:rsidRDefault="009A1128">
      <w:pPr>
        <w:pStyle w:val="Paragraphedeliste"/>
        <w:numPr>
          <w:ilvl w:val="0"/>
          <w:numId w:val="11"/>
        </w:numPr>
        <w:jc w:val="both"/>
        <w:rPr>
          <w:rFonts w:hint="eastAsia"/>
        </w:rPr>
      </w:pPr>
      <w:r>
        <w:t>Dans l’immédiat, on préconise de réduire l’éclairage à une plage horaire qui serait de 18 à 21 heures.</w:t>
      </w:r>
    </w:p>
    <w:p w:rsidR="0010520A" w:rsidRDefault="009A1128">
      <w:pPr>
        <w:pStyle w:val="Paragraphedeliste"/>
        <w:numPr>
          <w:ilvl w:val="0"/>
          <w:numId w:val="11"/>
        </w:numPr>
        <w:jc w:val="both"/>
        <w:rPr>
          <w:rFonts w:hint="eastAsia"/>
        </w:rPr>
      </w:pPr>
      <w:r>
        <w:t xml:space="preserve">Les ampoules des lampadaires du jardin seront dévissées pour découpler l’éclairage. </w:t>
      </w:r>
    </w:p>
    <w:p w:rsidR="0010520A" w:rsidRDefault="0010520A">
      <w:pPr>
        <w:pStyle w:val="Paragraphedeliste"/>
        <w:ind w:left="1440"/>
        <w:jc w:val="both"/>
        <w:rPr>
          <w:rFonts w:hint="eastAsia"/>
        </w:rPr>
      </w:pPr>
    </w:p>
    <w:p w:rsidR="0010520A" w:rsidRDefault="009A1128">
      <w:pPr>
        <w:pStyle w:val="Paragraphedeliste"/>
        <w:jc w:val="both"/>
        <w:rPr>
          <w:rFonts w:hint="eastAsia"/>
        </w:rPr>
      </w:pPr>
      <w:r>
        <w:rPr>
          <w:b/>
        </w:rPr>
        <w:t>Visiteurs</w:t>
      </w:r>
      <w:r>
        <w:t xml:space="preserve"> </w:t>
      </w:r>
    </w:p>
    <w:p w:rsidR="0010520A" w:rsidRDefault="009A1128">
      <w:pPr>
        <w:pStyle w:val="Paragraphedeliste"/>
        <w:numPr>
          <w:ilvl w:val="0"/>
          <w:numId w:val="12"/>
        </w:numPr>
        <w:jc w:val="both"/>
        <w:rPr>
          <w:rFonts w:hint="eastAsia"/>
        </w:rPr>
      </w:pPr>
      <w:r>
        <w:t xml:space="preserve">Il est demandé de maintenir l’usage des places ‘visiteurs’ … aux visiteurs. </w:t>
      </w:r>
    </w:p>
    <w:p w:rsidR="0010520A" w:rsidRDefault="009A1128">
      <w:pPr>
        <w:pStyle w:val="Paragraphedeliste"/>
        <w:numPr>
          <w:ilvl w:val="0"/>
          <w:numId w:val="12"/>
        </w:numPr>
        <w:jc w:val="both"/>
        <w:rPr>
          <w:rFonts w:hint="eastAsia"/>
        </w:rPr>
      </w:pPr>
      <w:r>
        <w:t>Pour pallier le problème de Sébastien et Céline, qui ont 2 voitures mais une seule</w:t>
      </w:r>
      <w:r>
        <w:t xml:space="preserve"> place de parking, Benoît propose de leur prêter sa place inutilisée (avant-dernière au fond).  </w:t>
      </w:r>
    </w:p>
    <w:p w:rsidR="0010520A" w:rsidRDefault="009A1128">
      <w:pPr>
        <w:pStyle w:val="Paragraphedeliste"/>
        <w:numPr>
          <w:ilvl w:val="0"/>
          <w:numId w:val="12"/>
        </w:numPr>
        <w:jc w:val="both"/>
        <w:rPr>
          <w:rFonts w:hint="eastAsia"/>
        </w:rPr>
      </w:pPr>
      <w:r>
        <w:t>La place libre de Paul ne peut être utilisée que pour décharger brièvement.</w:t>
      </w:r>
    </w:p>
    <w:p w:rsidR="0010520A" w:rsidRDefault="0010520A">
      <w:pPr>
        <w:pStyle w:val="Paragraphedeliste"/>
        <w:ind w:left="1440"/>
        <w:jc w:val="both"/>
        <w:rPr>
          <w:rFonts w:hint="eastAsia"/>
        </w:rPr>
      </w:pPr>
    </w:p>
    <w:p w:rsidR="0010520A" w:rsidRDefault="009A1128">
      <w:pPr>
        <w:pStyle w:val="Paragraphedeliste"/>
        <w:ind w:left="0"/>
        <w:jc w:val="both"/>
        <w:rPr>
          <w:rFonts w:hint="eastAsia"/>
        </w:rPr>
      </w:pPr>
      <w:r>
        <w:rPr>
          <w:b/>
        </w:rPr>
        <w:t>PRISES de DÉCISION dans les SITUATIONS D’URGENCE </w:t>
      </w:r>
    </w:p>
    <w:p w:rsidR="0010520A" w:rsidRDefault="009A1128">
      <w:pPr>
        <w:jc w:val="both"/>
        <w:rPr>
          <w:rFonts w:hint="eastAsia"/>
        </w:rPr>
      </w:pPr>
      <w:r>
        <w:rPr>
          <w:b/>
        </w:rPr>
        <w:t>Bois de récupération et stockage</w:t>
      </w:r>
      <w:r>
        <w:rPr>
          <w:b/>
        </w:rPr>
        <w:t xml:space="preserve"> malencontreux </w:t>
      </w:r>
    </w:p>
    <w:p w:rsidR="0010520A" w:rsidRDefault="009A1128">
      <w:pPr>
        <w:pStyle w:val="Paragraphedeliste"/>
        <w:numPr>
          <w:ilvl w:val="0"/>
          <w:numId w:val="13"/>
        </w:numPr>
        <w:jc w:val="both"/>
        <w:rPr>
          <w:rFonts w:hint="eastAsia"/>
        </w:rPr>
      </w:pPr>
      <w:r>
        <w:t>La benne du chantier de l’EHPAD était pleine de bois qui allait être envoyé à la déchetterie le lendemain ; or ce bois pouvait être utile au collectif. Henri a pris l’initiative d’en récupérer et de l’entreposer près du local poubelles, à h</w:t>
      </w:r>
      <w:r>
        <w:t xml:space="preserve">auteur des parking motos. Le lendemain, gênée par ces matériaux, Anne-Sophie s’est brûlée au moteur de sa moto.  </w:t>
      </w:r>
    </w:p>
    <w:p w:rsidR="0010520A" w:rsidRDefault="009A1128">
      <w:pPr>
        <w:pStyle w:val="Paragraphedeliste"/>
        <w:numPr>
          <w:ilvl w:val="0"/>
          <w:numId w:val="13"/>
        </w:numPr>
        <w:jc w:val="both"/>
        <w:rPr>
          <w:rFonts w:hint="eastAsia"/>
        </w:rPr>
      </w:pPr>
      <w:r>
        <w:t xml:space="preserve">Une initiative positive peut avoir des conséquences malheureuses ; il ne faudrait pas s’inhiber pour autant mais trouver une alternative pour </w:t>
      </w:r>
      <w:r>
        <w:t>l’entreposage dans l’exemple présent.</w:t>
      </w:r>
    </w:p>
    <w:p w:rsidR="0010520A" w:rsidRDefault="0010520A">
      <w:pPr>
        <w:pStyle w:val="Paragraphedeliste"/>
        <w:jc w:val="both"/>
        <w:rPr>
          <w:rFonts w:hint="eastAsia"/>
        </w:rPr>
      </w:pPr>
    </w:p>
    <w:p w:rsidR="0010520A" w:rsidRDefault="009A1128">
      <w:pPr>
        <w:contextualSpacing/>
        <w:jc w:val="both"/>
        <w:rPr>
          <w:rFonts w:hint="eastAsia"/>
          <w:b/>
          <w:bCs/>
        </w:rPr>
      </w:pPr>
      <w:r>
        <w:rPr>
          <w:b/>
          <w:bCs/>
        </w:rPr>
        <w:t>Tri hâtif du mobilier de jardin pour les encombrants</w:t>
      </w:r>
    </w:p>
    <w:p w:rsidR="0010520A" w:rsidRDefault="009A1128">
      <w:pPr>
        <w:pStyle w:val="Paragraphedeliste"/>
        <w:numPr>
          <w:ilvl w:val="0"/>
          <w:numId w:val="13"/>
        </w:numPr>
        <w:jc w:val="both"/>
        <w:rPr>
          <w:rFonts w:hint="eastAsia"/>
        </w:rPr>
      </w:pPr>
      <w:r>
        <w:t>Le 21 octobre, a été jeté</w:t>
      </w:r>
      <w:r>
        <w:t xml:space="preserve"> aux encombrants du mobilier de jardin entreposé dans le local poubelle, sur une étagère construite à cet effet, conformément au compte rendu du 19 juillet 2020. Bernard et Marie Claire, absents à cette date, ont fait les frais de cette initiative intempes</w:t>
      </w:r>
      <w:r>
        <w:t xml:space="preserve">tive. </w:t>
      </w:r>
    </w:p>
    <w:p w:rsidR="0010520A" w:rsidRDefault="009A1128">
      <w:pPr>
        <w:pStyle w:val="Paragraphedeliste"/>
        <w:numPr>
          <w:ilvl w:val="0"/>
          <w:numId w:val="13"/>
        </w:numPr>
        <w:jc w:val="both"/>
        <w:rPr>
          <w:rFonts w:hint="eastAsia"/>
        </w:rPr>
      </w:pPr>
      <w:r>
        <w:t xml:space="preserve">L’objectif était alors de désencombrer le local vélo et le local poubelle pour obéir à une logique : l’espace commun n’est pas une poubelle, on n’y entrepose pas ce dont on ne sait que faire, le groupe doit entériner l’utilité des dépôts. </w:t>
      </w:r>
    </w:p>
    <w:p w:rsidR="0010520A" w:rsidRDefault="009A1128">
      <w:pPr>
        <w:pStyle w:val="Paragraphedeliste"/>
        <w:numPr>
          <w:ilvl w:val="0"/>
          <w:numId w:val="13"/>
        </w:numPr>
        <w:jc w:val="both"/>
        <w:rPr>
          <w:rFonts w:hint="eastAsia"/>
        </w:rPr>
      </w:pPr>
      <w:r>
        <w:t>Le groupe</w:t>
      </w:r>
      <w:r>
        <w:t xml:space="preserve"> maintient l’importance des initiatives individuelles dans la limite où leurs conséquences ne sont pas irréversibles. Dans le cas présent, il appartenait aux propriétaires de mettre ces objets aux encombrants le cas échéant. De même, en cas de don au colle</w:t>
      </w:r>
      <w:r>
        <w:t>ctif, il reste important que l’ancien propriétaire donne l’autorisation de jeter...</w:t>
      </w:r>
    </w:p>
    <w:p w:rsidR="0010520A" w:rsidRDefault="009A1128">
      <w:pPr>
        <w:pStyle w:val="Paragraphedeliste"/>
        <w:numPr>
          <w:ilvl w:val="0"/>
          <w:numId w:val="13"/>
        </w:numPr>
        <w:jc w:val="both"/>
        <w:rPr>
          <w:rFonts w:hint="eastAsia"/>
        </w:rPr>
      </w:pPr>
      <w:r>
        <w:t>Cette expérience invite à plus de vigilance : certains d’entre nous préconisent un certain minimalisme, d’autres sont attachés aux objets/souvenirs ; leur perte ne pourrait</w:t>
      </w:r>
      <w:r>
        <w:t xml:space="preserve"> être réparée par un achat Emmaüs. </w:t>
      </w:r>
    </w:p>
    <w:p w:rsidR="0010520A" w:rsidRDefault="0010520A">
      <w:pPr>
        <w:pStyle w:val="Paragraphedeliste"/>
        <w:jc w:val="both"/>
        <w:rPr>
          <w:rFonts w:hint="eastAsia"/>
        </w:rPr>
      </w:pPr>
    </w:p>
    <w:p w:rsidR="0010520A" w:rsidRDefault="0010520A">
      <w:pPr>
        <w:pStyle w:val="Paragraphedeliste"/>
        <w:jc w:val="both"/>
        <w:rPr>
          <w:rFonts w:hint="eastAsia"/>
        </w:rPr>
      </w:pPr>
    </w:p>
    <w:p w:rsidR="0010520A" w:rsidRDefault="0010520A">
      <w:pPr>
        <w:pStyle w:val="Paragraphedeliste"/>
        <w:jc w:val="both"/>
        <w:rPr>
          <w:rFonts w:hint="eastAsia"/>
        </w:rPr>
      </w:pPr>
    </w:p>
    <w:p w:rsidR="0010520A" w:rsidRDefault="009A1128">
      <w:pPr>
        <w:pStyle w:val="Paragraphedeliste"/>
        <w:ind w:left="0"/>
        <w:jc w:val="both"/>
        <w:rPr>
          <w:rFonts w:hint="eastAsia"/>
          <w:b/>
        </w:rPr>
      </w:pPr>
      <w:r>
        <w:rPr>
          <w:b/>
        </w:rPr>
        <w:lastRenderedPageBreak/>
        <w:t>QUESTIONS DIVERSES</w:t>
      </w:r>
    </w:p>
    <w:p w:rsidR="0010520A" w:rsidRDefault="009A1128">
      <w:pPr>
        <w:pStyle w:val="Paragraphedeliste"/>
        <w:numPr>
          <w:ilvl w:val="0"/>
          <w:numId w:val="14"/>
        </w:numPr>
        <w:jc w:val="both"/>
        <w:rPr>
          <w:rFonts w:hint="eastAsia"/>
        </w:rPr>
      </w:pPr>
      <w:r>
        <w:t>Un câble informatique traîne sur la coursive des 2ème et 3ème étage, on peut se prendre les pieds dedans. Il était initialement destiné à installer le WIFI très haut débit dans la GS à partir des co</w:t>
      </w:r>
      <w:r>
        <w:t>mpteurs de chaque appartement. Il va être rembobiné et entreposé dans les SAS. Eric s’est beaucoup investi dans la recherche d’une solution économique pour doter la GS d’une connexion wifi. Le GT bâti aurait dû/pu être réuni pour rechercher des solutions e</w:t>
      </w:r>
      <w:r>
        <w:t>t faire des propositions… Entre temps, Paul a mis sa connexion wifi à disposition de la GS.</w:t>
      </w:r>
    </w:p>
    <w:p w:rsidR="0010520A" w:rsidRDefault="009A1128">
      <w:pPr>
        <w:pStyle w:val="Paragraphedeliste"/>
        <w:numPr>
          <w:ilvl w:val="0"/>
          <w:numId w:val="14"/>
        </w:numPr>
        <w:jc w:val="both"/>
        <w:rPr>
          <w:rFonts w:hint="eastAsia"/>
        </w:rPr>
      </w:pPr>
      <w:r>
        <w:rPr>
          <w:b/>
        </w:rPr>
        <w:t xml:space="preserve">Régler le code d’entrée : </w:t>
      </w:r>
      <w:r>
        <w:t>avec le changement d’horaire, l’heure de fermeture de la porte d’entrée est passé à 18:00 (au lieu de 19:00). Les membres présents s’accor</w:t>
      </w:r>
      <w:r>
        <w:t xml:space="preserve">dent pour maintenir cet horaire dans la mesure où il fait nuit ; il appartient à chacun de donner le code de la porte à ses visiteurs. </w:t>
      </w:r>
    </w:p>
    <w:p w:rsidR="0010520A" w:rsidRDefault="009A1128">
      <w:pPr>
        <w:pStyle w:val="Paragraphedeliste"/>
        <w:numPr>
          <w:ilvl w:val="0"/>
          <w:numId w:val="14"/>
        </w:numPr>
        <w:jc w:val="both"/>
        <w:rPr>
          <w:rFonts w:hint="eastAsia"/>
        </w:rPr>
      </w:pPr>
      <w:r>
        <w:rPr>
          <w:b/>
        </w:rPr>
        <w:t>Le sèche linge</w:t>
      </w:r>
      <w:r>
        <w:t xml:space="preserve"> fonctionne, il suffit de le brancher, de nettoyer le filtre après chaque utilisation et de vider le surpl</w:t>
      </w:r>
      <w:r>
        <w:t xml:space="preserve">us d’eau. Le syndic va évaluer le coût de cette utilisation qui pourrait être 3 fois supérieur à celui d’une machine à laver. </w:t>
      </w:r>
    </w:p>
    <w:p w:rsidR="0010520A" w:rsidRDefault="009A1128">
      <w:pPr>
        <w:pStyle w:val="Paragraphedeliste"/>
        <w:ind w:left="1117"/>
        <w:jc w:val="both"/>
        <w:rPr>
          <w:rFonts w:hint="eastAsia"/>
          <w:b/>
          <w:bCs/>
        </w:rPr>
      </w:pPr>
      <w:r>
        <w:rPr>
          <w:b/>
          <w:bCs/>
        </w:rPr>
        <w:t>Info de Joël</w:t>
      </w:r>
    </w:p>
    <w:p w:rsidR="0010520A" w:rsidRDefault="009A1128">
      <w:pPr>
        <w:pStyle w:val="Paragraphedeliste"/>
        <w:numPr>
          <w:ilvl w:val="0"/>
          <w:numId w:val="14"/>
        </w:numPr>
        <w:jc w:val="both"/>
        <w:rPr>
          <w:rFonts w:hint="eastAsia"/>
        </w:rPr>
      </w:pPr>
      <w:r>
        <w:t>Le courrier à Mr Brochard/CLMH pour demander la prolongation de la Garantie de Parfait Achèvement (GPA), compte tenu</w:t>
      </w:r>
      <w:r>
        <w:t xml:space="preserve"> du 1</w:t>
      </w:r>
      <w:r>
        <w:rPr>
          <w:vertAlign w:val="superscript"/>
        </w:rPr>
        <w:t>er</w:t>
      </w:r>
      <w:r>
        <w:t xml:space="preserve"> confinement, va être incessamment envoyé en recommandé.</w:t>
      </w:r>
    </w:p>
    <w:p w:rsidR="0010520A" w:rsidRDefault="009A1128">
      <w:pPr>
        <w:pStyle w:val="Paragraphedeliste"/>
        <w:numPr>
          <w:ilvl w:val="0"/>
          <w:numId w:val="14"/>
        </w:numPr>
        <w:jc w:val="both"/>
        <w:rPr>
          <w:rFonts w:hint="eastAsia"/>
        </w:rPr>
      </w:pPr>
      <w:r>
        <w:t>Numéros de téléphone et adresse email ont été transmis à l’entreprise CHANU ; ils doivent rester confidentiels.</w:t>
      </w:r>
    </w:p>
    <w:p w:rsidR="0010520A" w:rsidRDefault="0010520A">
      <w:pPr>
        <w:jc w:val="both"/>
        <w:rPr>
          <w:rFonts w:hint="eastAsia"/>
          <w:b/>
        </w:rPr>
      </w:pPr>
    </w:p>
    <w:p w:rsidR="0010520A" w:rsidRDefault="009A1128">
      <w:pPr>
        <w:jc w:val="both"/>
        <w:rPr>
          <w:rFonts w:hint="eastAsia"/>
        </w:rPr>
      </w:pPr>
      <w:r>
        <w:rPr>
          <w:b/>
        </w:rPr>
        <w:t>RELEVÉ de DECISIONS </w:t>
      </w:r>
      <w:r>
        <w:t>:</w:t>
      </w:r>
    </w:p>
    <w:p w:rsidR="0010520A" w:rsidRDefault="009A1128">
      <w:pPr>
        <w:pStyle w:val="Paragraphedeliste"/>
        <w:numPr>
          <w:ilvl w:val="0"/>
          <w:numId w:val="15"/>
        </w:numPr>
        <w:jc w:val="both"/>
        <w:rPr>
          <w:rFonts w:hint="eastAsia"/>
        </w:rPr>
      </w:pPr>
      <w:r>
        <w:t>Choix de la tonnelle : reporté</w:t>
      </w:r>
    </w:p>
    <w:p w:rsidR="0010520A" w:rsidRDefault="009A1128">
      <w:pPr>
        <w:pStyle w:val="Paragraphedeliste"/>
        <w:numPr>
          <w:ilvl w:val="0"/>
          <w:numId w:val="15"/>
        </w:numPr>
        <w:jc w:val="both"/>
        <w:rPr>
          <w:rFonts w:hint="eastAsia"/>
        </w:rPr>
      </w:pPr>
      <w:r>
        <w:t>S’enregistrer sur le table</w:t>
      </w:r>
      <w:r>
        <w:t>au Velleda de l’entrée pour le TIC du 21 novembre</w:t>
      </w:r>
    </w:p>
    <w:p w:rsidR="0010520A" w:rsidRDefault="009A1128">
      <w:pPr>
        <w:pStyle w:val="Paragraphedeliste"/>
        <w:numPr>
          <w:ilvl w:val="0"/>
          <w:numId w:val="15"/>
        </w:numPr>
        <w:jc w:val="both"/>
        <w:rPr>
          <w:rFonts w:hint="eastAsia"/>
        </w:rPr>
      </w:pPr>
      <w:r>
        <w:t>Éclairage parking entre 18 et 21 heures dans l’attente d’un système de détection.</w:t>
      </w:r>
    </w:p>
    <w:p w:rsidR="0010520A" w:rsidRDefault="009A1128">
      <w:pPr>
        <w:pStyle w:val="Paragraphedeliste"/>
        <w:numPr>
          <w:ilvl w:val="0"/>
          <w:numId w:val="15"/>
        </w:numPr>
        <w:jc w:val="both"/>
        <w:rPr>
          <w:rFonts w:hint="eastAsia"/>
        </w:rPr>
      </w:pPr>
      <w:r>
        <w:t>Sébastien utilise la place de parking de Benoît</w:t>
      </w:r>
    </w:p>
    <w:p w:rsidR="0010520A" w:rsidRDefault="009A1128">
      <w:pPr>
        <w:pStyle w:val="Paragraphedeliste"/>
        <w:numPr>
          <w:ilvl w:val="0"/>
          <w:numId w:val="15"/>
        </w:numPr>
        <w:jc w:val="both"/>
        <w:rPr>
          <w:rFonts w:hint="eastAsia"/>
        </w:rPr>
      </w:pPr>
      <w:r>
        <w:t>Porte d’entrée : fermée de 18:00 à 07:00</w:t>
      </w:r>
    </w:p>
    <w:p w:rsidR="0010520A" w:rsidRDefault="009A1128">
      <w:pPr>
        <w:pStyle w:val="Paragraphedeliste"/>
        <w:numPr>
          <w:ilvl w:val="0"/>
          <w:numId w:val="15"/>
        </w:numPr>
        <w:jc w:val="both"/>
        <w:rPr>
          <w:rFonts w:hint="eastAsia"/>
        </w:rPr>
      </w:pPr>
      <w:r>
        <w:t>Sèche-linge à disposition</w:t>
      </w:r>
    </w:p>
    <w:p w:rsidR="0010520A" w:rsidRDefault="009A1128">
      <w:pPr>
        <w:pStyle w:val="Paragraphedeliste"/>
        <w:numPr>
          <w:ilvl w:val="0"/>
          <w:numId w:val="15"/>
        </w:numPr>
        <w:jc w:val="both"/>
        <w:rPr>
          <w:rFonts w:hint="eastAsia"/>
        </w:rPr>
      </w:pPr>
      <w:r>
        <w:t xml:space="preserve">Acheter </w:t>
      </w:r>
      <w:r>
        <w:t>le petit panneau « présence de gaz » pour informer les pompiers</w:t>
      </w:r>
    </w:p>
    <w:p w:rsidR="0010520A" w:rsidRDefault="009A1128">
      <w:pPr>
        <w:pStyle w:val="Paragraphedeliste"/>
        <w:numPr>
          <w:ilvl w:val="0"/>
          <w:numId w:val="15"/>
        </w:numPr>
        <w:jc w:val="both"/>
        <w:rPr>
          <w:rFonts w:hint="eastAsia"/>
        </w:rPr>
      </w:pPr>
      <w:r>
        <w:t>Dans les escaliers, des petits barreaux de bois vont être installés pour faire office de coupe-vent.</w:t>
      </w:r>
    </w:p>
    <w:p w:rsidR="0010520A" w:rsidRDefault="0010520A">
      <w:pPr>
        <w:jc w:val="both"/>
        <w:rPr>
          <w:rFonts w:hint="eastAsia"/>
        </w:rPr>
      </w:pPr>
    </w:p>
    <w:p w:rsidR="0010520A" w:rsidRDefault="0010520A">
      <w:pPr>
        <w:jc w:val="both"/>
        <w:rPr>
          <w:rFonts w:hint="eastAsia"/>
        </w:rPr>
      </w:pPr>
    </w:p>
    <w:p w:rsidR="0010520A" w:rsidRDefault="009A1128">
      <w:pPr>
        <w:jc w:val="center"/>
        <w:rPr>
          <w:rFonts w:hint="eastAsia"/>
        </w:rPr>
      </w:pPr>
      <w:r>
        <w:t>Prochaine réunion</w:t>
      </w:r>
    </w:p>
    <w:p w:rsidR="0010520A" w:rsidRDefault="009A1128">
      <w:pPr>
        <w:jc w:val="center"/>
        <w:rPr>
          <w:rFonts w:hint="eastAsia"/>
        </w:rPr>
      </w:pPr>
      <w:r>
        <w:rPr>
          <w:b/>
        </w:rPr>
        <w:t>Dimanche 22 Novembre, 17:50</w:t>
      </w:r>
    </w:p>
    <w:p w:rsidR="0010520A" w:rsidRDefault="009A1128">
      <w:pPr>
        <w:jc w:val="center"/>
        <w:rPr>
          <w:rFonts w:hint="eastAsia"/>
        </w:rPr>
      </w:pPr>
      <w:r>
        <w:t>Salle de réunion</w:t>
      </w:r>
    </w:p>
    <w:p w:rsidR="0010520A" w:rsidRDefault="0010520A">
      <w:pPr>
        <w:jc w:val="both"/>
        <w:rPr>
          <w:rFonts w:hint="eastAsia"/>
        </w:rPr>
      </w:pPr>
    </w:p>
    <w:p w:rsidR="0010520A" w:rsidRDefault="009A1128">
      <w:pPr>
        <w:jc w:val="both"/>
        <w:rPr>
          <w:rFonts w:hint="eastAsia"/>
        </w:rPr>
      </w:pPr>
      <w:r>
        <w:t>A l’ordre du jour qui dev</w:t>
      </w:r>
      <w:r>
        <w:t>ra être travaillé</w:t>
      </w:r>
    </w:p>
    <w:p w:rsidR="0010520A" w:rsidRDefault="009A1128">
      <w:pPr>
        <w:numPr>
          <w:ilvl w:val="0"/>
          <w:numId w:val="16"/>
        </w:numPr>
        <w:jc w:val="both"/>
        <w:rPr>
          <w:rFonts w:hint="eastAsia"/>
        </w:rPr>
      </w:pPr>
      <w:r>
        <w:t xml:space="preserve">Bilan de la journée TIC du 21 novembre. </w:t>
      </w:r>
    </w:p>
    <w:p w:rsidR="0010520A" w:rsidRDefault="009A1128">
      <w:pPr>
        <w:numPr>
          <w:ilvl w:val="0"/>
          <w:numId w:val="16"/>
        </w:numPr>
        <w:jc w:val="both"/>
        <w:rPr>
          <w:rFonts w:hint="eastAsia"/>
        </w:rPr>
      </w:pPr>
      <w:r>
        <w:t>Bilan groupe de travail ‘syndic’ du 02 novembre.</w:t>
      </w:r>
    </w:p>
    <w:p w:rsidR="0010520A" w:rsidRDefault="009A1128">
      <w:pPr>
        <w:numPr>
          <w:ilvl w:val="0"/>
          <w:numId w:val="16"/>
        </w:numPr>
        <w:jc w:val="both"/>
        <w:rPr>
          <w:rFonts w:hint="eastAsia"/>
        </w:rPr>
      </w:pPr>
      <w:r>
        <w:t>Bilan groupe de travail ‘règlement intérieur’ du 06 novembre.</w:t>
      </w:r>
    </w:p>
    <w:p w:rsidR="0010520A" w:rsidRDefault="009A1128">
      <w:pPr>
        <w:numPr>
          <w:ilvl w:val="0"/>
          <w:numId w:val="16"/>
        </w:numPr>
        <w:jc w:val="both"/>
        <w:rPr>
          <w:rFonts w:hint="eastAsia"/>
        </w:rPr>
      </w:pPr>
      <w:r>
        <w:t>Vote pour la tonnelle.</w:t>
      </w:r>
    </w:p>
    <w:p w:rsidR="0010520A" w:rsidRDefault="009A1128">
      <w:pPr>
        <w:numPr>
          <w:ilvl w:val="0"/>
          <w:numId w:val="16"/>
        </w:numPr>
        <w:jc w:val="both"/>
        <w:rPr>
          <w:rFonts w:hint="eastAsia"/>
        </w:rPr>
      </w:pPr>
      <w:r>
        <w:t>.</w:t>
      </w:r>
    </w:p>
    <w:p w:rsidR="0010520A" w:rsidRDefault="0010520A">
      <w:pPr>
        <w:ind w:left="720"/>
        <w:jc w:val="both"/>
        <w:rPr>
          <w:rFonts w:hint="eastAsia"/>
        </w:rPr>
      </w:pPr>
    </w:p>
    <w:p w:rsidR="0010520A" w:rsidRDefault="009A1128">
      <w:pPr>
        <w:jc w:val="both"/>
        <w:rPr>
          <w:rFonts w:hint="eastAsia"/>
        </w:rPr>
      </w:pPr>
      <w:r>
        <w:rPr>
          <w:b/>
          <w:bCs/>
        </w:rPr>
        <w:t>Organisation :</w:t>
      </w:r>
      <w:r>
        <w:t xml:space="preserve"> </w:t>
      </w:r>
      <w:r>
        <w:rPr>
          <w:i/>
          <w:iCs/>
        </w:rPr>
        <w:t>F</w:t>
      </w:r>
      <w:r>
        <w:rPr>
          <w:i/>
          <w:iCs/>
        </w:rPr>
        <w:t>acilitateur, Sébastien – Saisie, Eric &amp; Janine - Prises de décision, Claude J. (ou Armelle) - Gestion du temps, Catherine - Distribution parole, Évelyne - Scrutateur des émotions, Sara.</w:t>
      </w:r>
    </w:p>
    <w:sectPr w:rsidR="0010520A">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20B0604020202020204"/>
    <w:charset w:val="01"/>
    <w:family w:val="auto"/>
    <w:pitch w:val="default"/>
  </w:font>
  <w:font w:name="Cambria">
    <w:panose1 w:val="02040503050406030204"/>
    <w:charset w:val="0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5FB3"/>
    <w:multiLevelType w:val="multilevel"/>
    <w:tmpl w:val="4FA005B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0D890344"/>
    <w:multiLevelType w:val="multilevel"/>
    <w:tmpl w:val="FD66E5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1F7A45"/>
    <w:multiLevelType w:val="multilevel"/>
    <w:tmpl w:val="FA2E3D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681A03"/>
    <w:multiLevelType w:val="multilevel"/>
    <w:tmpl w:val="30EE6CF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F7753B1"/>
    <w:multiLevelType w:val="multilevel"/>
    <w:tmpl w:val="F9C233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0551A62"/>
    <w:multiLevelType w:val="multilevel"/>
    <w:tmpl w:val="C22E03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6704CF2"/>
    <w:multiLevelType w:val="multilevel"/>
    <w:tmpl w:val="5256485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BF54D39"/>
    <w:multiLevelType w:val="multilevel"/>
    <w:tmpl w:val="7D4C53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0907B2E"/>
    <w:multiLevelType w:val="multilevel"/>
    <w:tmpl w:val="B0484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3FF145B"/>
    <w:multiLevelType w:val="multilevel"/>
    <w:tmpl w:val="16D899C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5BDA1477"/>
    <w:multiLevelType w:val="multilevel"/>
    <w:tmpl w:val="76C49C5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5D9D2A89"/>
    <w:multiLevelType w:val="multilevel"/>
    <w:tmpl w:val="FA2AC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0961F28"/>
    <w:multiLevelType w:val="multilevel"/>
    <w:tmpl w:val="E65C18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47F3A1D"/>
    <w:multiLevelType w:val="multilevel"/>
    <w:tmpl w:val="7632C0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18C6466"/>
    <w:multiLevelType w:val="multilevel"/>
    <w:tmpl w:val="B5F89C7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2310C7F"/>
    <w:multiLevelType w:val="multilevel"/>
    <w:tmpl w:val="437AF95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75E13FB"/>
    <w:multiLevelType w:val="multilevel"/>
    <w:tmpl w:val="560EF09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12"/>
  </w:num>
  <w:num w:numId="3">
    <w:abstractNumId w:val="2"/>
  </w:num>
  <w:num w:numId="4">
    <w:abstractNumId w:val="14"/>
  </w:num>
  <w:num w:numId="5">
    <w:abstractNumId w:val="7"/>
  </w:num>
  <w:num w:numId="6">
    <w:abstractNumId w:val="4"/>
  </w:num>
  <w:num w:numId="7">
    <w:abstractNumId w:val="9"/>
  </w:num>
  <w:num w:numId="8">
    <w:abstractNumId w:val="0"/>
  </w:num>
  <w:num w:numId="9">
    <w:abstractNumId w:val="3"/>
  </w:num>
  <w:num w:numId="10">
    <w:abstractNumId w:val="16"/>
  </w:num>
  <w:num w:numId="11">
    <w:abstractNumId w:val="8"/>
  </w:num>
  <w:num w:numId="12">
    <w:abstractNumId w:val="5"/>
  </w:num>
  <w:num w:numId="13">
    <w:abstractNumId w:val="6"/>
  </w:num>
  <w:num w:numId="14">
    <w:abstractNumId w:val="13"/>
  </w:num>
  <w:num w:numId="15">
    <w:abstractNumId w:val="1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0520A"/>
    <w:rsid w:val="0010520A"/>
    <w:rsid w:val="009A11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3A7DB620-F82A-6942-81F7-086044E6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ahoma"/>
        <w:sz w:val="24"/>
        <w:szCs w:val="24"/>
        <w:lang w:val="fr-FR" w:eastAsia="fr-F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Paragraphedeliste">
    <w:name w:val="List Paragraph"/>
    <w:basedOn w:val="Normal"/>
    <w:qFormat/>
    <w:pPr>
      <w:ind w:left="720"/>
      <w:contextualSpacing/>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1326</Words>
  <Characters>7294</Characters>
  <Application>Microsoft Office Word</Application>
  <DocSecurity>0</DocSecurity>
  <Lines>60</Lines>
  <Paragraphs>17</Paragraphs>
  <ScaleCrop>false</ScaleCrop>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jlm</dc:creator>
  <dc:description/>
  <cp:lastModifiedBy>Utilisateur Microsoft Office</cp:lastModifiedBy>
  <cp:revision>20</cp:revision>
  <cp:lastPrinted>2020-11-03T11:30:00Z</cp:lastPrinted>
  <dcterms:created xsi:type="dcterms:W3CDTF">2020-10-11T15:45:00Z</dcterms:created>
  <dcterms:modified xsi:type="dcterms:W3CDTF">2020-11-04T07:15:00Z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